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BD" w:rsidRDefault="00F21439" w:rsidP="005B13BD">
      <w:pPr>
        <w:pStyle w:val="Default"/>
        <w:rPr>
          <w:sz w:val="44"/>
          <w:szCs w:val="44"/>
        </w:rPr>
      </w:pPr>
      <w:r>
        <w:rPr>
          <w:b/>
          <w:bCs/>
          <w:sz w:val="44"/>
          <w:szCs w:val="44"/>
        </w:rPr>
        <w:t xml:space="preserve">CWS </w:t>
      </w:r>
      <w:r w:rsidR="005B13BD">
        <w:rPr>
          <w:b/>
          <w:bCs/>
          <w:sz w:val="44"/>
          <w:szCs w:val="44"/>
        </w:rPr>
        <w:t xml:space="preserve">GLOSSARY </w:t>
      </w:r>
      <w:r>
        <w:rPr>
          <w:b/>
          <w:bCs/>
          <w:sz w:val="44"/>
          <w:szCs w:val="44"/>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Abiotic </w:t>
      </w:r>
      <w:r>
        <w:rPr>
          <w:sz w:val="22"/>
          <w:szCs w:val="22"/>
        </w:rPr>
        <w:t xml:space="preserve">– In biology, abiotic components are non-living chemical and physical factors in the environment.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Barriers </w:t>
      </w:r>
      <w:r>
        <w:rPr>
          <w:sz w:val="22"/>
          <w:szCs w:val="22"/>
        </w:rPr>
        <w:t xml:space="preserve">– Policy or administrative impediments that must be removed for the Cohesive Strategy to be successful.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Biotic </w:t>
      </w:r>
      <w:r>
        <w:rPr>
          <w:sz w:val="22"/>
          <w:szCs w:val="22"/>
        </w:rPr>
        <w:t xml:space="preserve">– Of, relating to, or resulting from living things, especially in their ecological relations </w:t>
      </w:r>
    </w:p>
    <w:p w:rsidR="005B13BD" w:rsidRDefault="005B13BD" w:rsidP="005B13BD">
      <w:pPr>
        <w:pStyle w:val="Default"/>
        <w:rPr>
          <w:b/>
          <w:bCs/>
          <w:sz w:val="22"/>
          <w:szCs w:val="22"/>
        </w:rPr>
      </w:pPr>
    </w:p>
    <w:p w:rsidR="005B13BD" w:rsidRPr="00F512EA" w:rsidRDefault="005B13BD" w:rsidP="005B13BD">
      <w:pPr>
        <w:pStyle w:val="Default"/>
        <w:rPr>
          <w:strike/>
          <w:sz w:val="22"/>
          <w:szCs w:val="22"/>
        </w:rPr>
      </w:pPr>
      <w:proofErr w:type="gramStart"/>
      <w:r w:rsidRPr="00F512EA">
        <w:rPr>
          <w:b/>
          <w:bCs/>
          <w:strike/>
          <w:sz w:val="22"/>
          <w:szCs w:val="22"/>
        </w:rPr>
        <w:t xml:space="preserve">Collaboration </w:t>
      </w:r>
      <w:r w:rsidRPr="00F512EA">
        <w:rPr>
          <w:strike/>
          <w:sz w:val="22"/>
          <w:szCs w:val="22"/>
        </w:rPr>
        <w:t>- 1.</w:t>
      </w:r>
      <w:proofErr w:type="gramEnd"/>
      <w:r w:rsidRPr="00F512EA">
        <w:rPr>
          <w:strike/>
          <w:sz w:val="22"/>
          <w:szCs w:val="22"/>
        </w:rPr>
        <w:t xml:space="preserve"> </w:t>
      </w:r>
      <w:proofErr w:type="gramStart"/>
      <w:r w:rsidRPr="00F512EA">
        <w:rPr>
          <w:strike/>
          <w:sz w:val="22"/>
          <w:szCs w:val="22"/>
        </w:rPr>
        <w:t>Groups working together; 2.</w:t>
      </w:r>
      <w:proofErr w:type="gramEnd"/>
      <w:r w:rsidRPr="00F512EA">
        <w:rPr>
          <w:strike/>
          <w:sz w:val="22"/>
          <w:szCs w:val="22"/>
        </w:rPr>
        <w:t xml:space="preserve"> </w:t>
      </w:r>
      <w:proofErr w:type="gramStart"/>
      <w:r w:rsidRPr="00F512EA">
        <w:rPr>
          <w:strike/>
          <w:sz w:val="22"/>
          <w:szCs w:val="22"/>
        </w:rPr>
        <w:t>Groups working together to resolve difficult environmental issues through mediation, negotiation, and the building of agreements.</w:t>
      </w:r>
      <w:proofErr w:type="gramEnd"/>
      <w:r w:rsidRPr="00F512EA">
        <w:rPr>
          <w:strike/>
          <w:sz w:val="22"/>
          <w:szCs w:val="22"/>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Critical success factors </w:t>
      </w:r>
      <w:r>
        <w:rPr>
          <w:sz w:val="22"/>
          <w:szCs w:val="22"/>
        </w:rPr>
        <w:t xml:space="preserve">– Policies, programs, agreements, partnerships, resources, and other factors that must be present for the Cohesive Strategy to be successful. </w:t>
      </w:r>
    </w:p>
    <w:p w:rsidR="005B13BD" w:rsidRDefault="005B13BD" w:rsidP="005B13BD">
      <w:pPr>
        <w:pStyle w:val="Default"/>
        <w:rPr>
          <w:b/>
          <w:bCs/>
          <w:sz w:val="22"/>
          <w:szCs w:val="22"/>
        </w:rPr>
      </w:pPr>
    </w:p>
    <w:p w:rsidR="005B13BD" w:rsidRPr="000E17DD" w:rsidRDefault="005B13BD" w:rsidP="005B13BD">
      <w:pPr>
        <w:pStyle w:val="Default"/>
        <w:rPr>
          <w:strike/>
          <w:sz w:val="22"/>
          <w:szCs w:val="22"/>
        </w:rPr>
      </w:pPr>
      <w:r w:rsidRPr="000E17DD">
        <w:rPr>
          <w:b/>
          <w:bCs/>
          <w:strike/>
          <w:sz w:val="22"/>
          <w:szCs w:val="22"/>
        </w:rPr>
        <w:t xml:space="preserve">Fire-adapted community </w:t>
      </w:r>
      <w:r w:rsidRPr="000E17DD">
        <w:rPr>
          <w:strike/>
          <w:sz w:val="22"/>
          <w:szCs w:val="22"/>
        </w:rPr>
        <w:t xml:space="preserve">– Human communities consisting of informed and prepared citizens collaboratively planning and taking action to safely co-exist with wildland fire.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Fire-adapted ecosystem </w:t>
      </w:r>
      <w:r>
        <w:rPr>
          <w:sz w:val="22"/>
          <w:szCs w:val="22"/>
        </w:rPr>
        <w:t xml:space="preserve">– An ecosystem is “an interacting natural system, including all the component organisms, together with the abiotic environment and processes affecting them” (NWCG Glossary). A fire-adapted ecosystem is one that collectively has the ability to survive or regenerate (including natural successional processes) in an environment in which fire is a natural process. </w:t>
      </w:r>
    </w:p>
    <w:p w:rsidR="005B13BD" w:rsidRDefault="005B13BD" w:rsidP="005B13BD">
      <w:pPr>
        <w:pStyle w:val="Default"/>
        <w:rPr>
          <w:b/>
          <w:bCs/>
          <w:sz w:val="22"/>
          <w:szCs w:val="22"/>
        </w:rPr>
      </w:pPr>
    </w:p>
    <w:p w:rsidR="005B13BD" w:rsidRDefault="005B13BD" w:rsidP="005B13BD">
      <w:pPr>
        <w:pStyle w:val="Default"/>
        <w:rPr>
          <w:sz w:val="22"/>
          <w:szCs w:val="22"/>
        </w:rPr>
      </w:pPr>
      <w:proofErr w:type="gramStart"/>
      <w:r>
        <w:rPr>
          <w:b/>
          <w:bCs/>
          <w:sz w:val="22"/>
          <w:szCs w:val="22"/>
        </w:rPr>
        <w:t xml:space="preserve">Fire community </w:t>
      </w:r>
      <w:r>
        <w:rPr>
          <w:sz w:val="22"/>
          <w:szCs w:val="22"/>
        </w:rPr>
        <w:t>– A term that collectively refers to all those who are engaged in any aspect of wildland fire-related activities.</w:t>
      </w:r>
      <w:proofErr w:type="gramEnd"/>
      <w:r>
        <w:rPr>
          <w:sz w:val="22"/>
          <w:szCs w:val="22"/>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proofErr w:type="gramStart"/>
      <w:r>
        <w:rPr>
          <w:b/>
          <w:bCs/>
          <w:sz w:val="22"/>
          <w:szCs w:val="22"/>
        </w:rPr>
        <w:t xml:space="preserve">Fire exclusion </w:t>
      </w:r>
      <w:r>
        <w:rPr>
          <w:sz w:val="22"/>
          <w:szCs w:val="22"/>
        </w:rPr>
        <w:t>– The land management activity of keeping vegetation or ecosystems from burning in a wildland fire.</w:t>
      </w:r>
      <w:proofErr w:type="gramEnd"/>
      <w:r>
        <w:rPr>
          <w:sz w:val="22"/>
          <w:szCs w:val="22"/>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proofErr w:type="gramStart"/>
      <w:r>
        <w:rPr>
          <w:b/>
          <w:bCs/>
          <w:sz w:val="22"/>
          <w:szCs w:val="22"/>
        </w:rPr>
        <w:t xml:space="preserve">Fire management community </w:t>
      </w:r>
      <w:r>
        <w:rPr>
          <w:sz w:val="22"/>
          <w:szCs w:val="22"/>
        </w:rPr>
        <w:t>– A subset of the fire community that has a role in and responsibility for managing wildland fires and their effects on the environment.</w:t>
      </w:r>
      <w:proofErr w:type="gramEnd"/>
      <w:r>
        <w:rPr>
          <w:sz w:val="22"/>
          <w:szCs w:val="22"/>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proofErr w:type="gramStart"/>
      <w:r>
        <w:rPr>
          <w:b/>
          <w:bCs/>
          <w:sz w:val="22"/>
          <w:szCs w:val="22"/>
        </w:rPr>
        <w:t xml:space="preserve">Fire science community </w:t>
      </w:r>
      <w:r>
        <w:rPr>
          <w:sz w:val="22"/>
          <w:szCs w:val="22"/>
        </w:rPr>
        <w:t>– A subset of the fire community consisting of those who study, analyze, communicate, or educate others on the components of fire management that can be measured, such as fire behavior, fire effects, fire economics, and other related fire science disciplines.</w:t>
      </w:r>
      <w:proofErr w:type="gramEnd"/>
      <w:r>
        <w:rPr>
          <w:sz w:val="22"/>
          <w:szCs w:val="22"/>
        </w:rPr>
        <w:t xml:space="preserve"> </w:t>
      </w:r>
    </w:p>
    <w:p w:rsidR="005B13BD" w:rsidRDefault="005B13BD" w:rsidP="005B13BD">
      <w:pPr>
        <w:pStyle w:val="Default"/>
        <w:rPr>
          <w:b/>
          <w:bCs/>
          <w:sz w:val="22"/>
          <w:szCs w:val="22"/>
        </w:rPr>
      </w:pPr>
    </w:p>
    <w:p w:rsidR="005B13BD" w:rsidRPr="00DB6E6B" w:rsidRDefault="005B13BD" w:rsidP="005B13BD">
      <w:pPr>
        <w:pStyle w:val="Default"/>
        <w:rPr>
          <w:strike/>
          <w:sz w:val="22"/>
          <w:szCs w:val="22"/>
        </w:rPr>
      </w:pPr>
      <w:r w:rsidRPr="00DB6E6B">
        <w:rPr>
          <w:b/>
          <w:bCs/>
          <w:strike/>
          <w:sz w:val="22"/>
          <w:szCs w:val="22"/>
        </w:rPr>
        <w:t xml:space="preserve">Resilient </w:t>
      </w:r>
      <w:r w:rsidRPr="00DB6E6B">
        <w:rPr>
          <w:strike/>
          <w:sz w:val="22"/>
          <w:szCs w:val="22"/>
        </w:rPr>
        <w:t xml:space="preserve">– Generally referred to in this document as “resilient ecosystems,” which are those that resist damage and recover quickly from disturbances (such as wildland fires) and human </w:t>
      </w:r>
      <w:proofErr w:type="gramStart"/>
      <w:r w:rsidRPr="00DB6E6B">
        <w:rPr>
          <w:strike/>
          <w:sz w:val="22"/>
          <w:szCs w:val="22"/>
        </w:rPr>
        <w:t>activities.</w:t>
      </w:r>
      <w:proofErr w:type="gramEnd"/>
      <w:r w:rsidRPr="00DB6E6B">
        <w:rPr>
          <w:strike/>
          <w:sz w:val="22"/>
          <w:szCs w:val="22"/>
        </w:rPr>
        <w:t xml:space="preserve">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Regime </w:t>
      </w:r>
      <w:r>
        <w:rPr>
          <w:sz w:val="22"/>
          <w:szCs w:val="22"/>
        </w:rPr>
        <w:t>– A fire regime is the patter</w:t>
      </w:r>
      <w:bookmarkStart w:id="0" w:name="_GoBack"/>
      <w:bookmarkEnd w:id="0"/>
      <w:r>
        <w:rPr>
          <w:sz w:val="22"/>
          <w:szCs w:val="22"/>
        </w:rPr>
        <w:t xml:space="preserve">n, frequency, and intensity of wildland fire that prevails in an area. </w:t>
      </w:r>
    </w:p>
    <w:p w:rsidR="005B13BD" w:rsidRDefault="005B13BD" w:rsidP="005B13BD">
      <w:pPr>
        <w:pStyle w:val="Default"/>
        <w:rPr>
          <w:b/>
          <w:bCs/>
          <w:sz w:val="22"/>
          <w:szCs w:val="22"/>
        </w:rPr>
      </w:pPr>
    </w:p>
    <w:p w:rsidR="005B13BD" w:rsidRDefault="005B13BD" w:rsidP="005B13BD">
      <w:pPr>
        <w:pStyle w:val="Default"/>
        <w:rPr>
          <w:sz w:val="22"/>
          <w:szCs w:val="22"/>
        </w:rPr>
      </w:pPr>
      <w:r>
        <w:rPr>
          <w:b/>
          <w:bCs/>
          <w:sz w:val="22"/>
          <w:szCs w:val="22"/>
        </w:rPr>
        <w:t xml:space="preserve">Risk </w:t>
      </w:r>
      <w:r>
        <w:rPr>
          <w:sz w:val="22"/>
          <w:szCs w:val="22"/>
        </w:rPr>
        <w:t xml:space="preserve">– A situation involving exposure to danger; the possibility that something unpleasant or unwelcome will happen. </w:t>
      </w:r>
    </w:p>
    <w:p w:rsidR="005B13BD" w:rsidRDefault="005B13BD" w:rsidP="005B13BD">
      <w:pPr>
        <w:rPr>
          <w:b/>
          <w:bCs/>
          <w:sz w:val="22"/>
        </w:rPr>
      </w:pPr>
    </w:p>
    <w:p w:rsidR="00797067" w:rsidRDefault="005B13BD" w:rsidP="005B13BD">
      <w:pPr>
        <w:rPr>
          <w:sz w:val="22"/>
        </w:rPr>
      </w:pPr>
      <w:r>
        <w:rPr>
          <w:b/>
          <w:bCs/>
          <w:sz w:val="22"/>
        </w:rPr>
        <w:t xml:space="preserve">Stakeholder </w:t>
      </w:r>
      <w:r>
        <w:rPr>
          <w:sz w:val="22"/>
        </w:rPr>
        <w:t>– A person or group of people who has an interest and involvement in the process and outcome of a land management, fire management, or policy decision.</w:t>
      </w:r>
    </w:p>
    <w:p w:rsidR="00EC05A0" w:rsidRDefault="00EC05A0" w:rsidP="005B13BD">
      <w:pPr>
        <w:rPr>
          <w:sz w:val="22"/>
        </w:rPr>
      </w:pPr>
    </w:p>
    <w:p w:rsidR="00EC05A0" w:rsidRPr="00EC05A0" w:rsidRDefault="00EC05A0" w:rsidP="005B13BD">
      <w:pPr>
        <w:rPr>
          <w:b/>
          <w:sz w:val="22"/>
        </w:rPr>
      </w:pPr>
      <w:r w:rsidRPr="00EC05A0">
        <w:rPr>
          <w:b/>
          <w:sz w:val="22"/>
        </w:rPr>
        <w:t>WUI Zone</w:t>
      </w:r>
      <w:r>
        <w:rPr>
          <w:b/>
          <w:sz w:val="22"/>
        </w:rPr>
        <w:t xml:space="preserve"> -  </w:t>
      </w:r>
      <w:r w:rsidRPr="00EC05A0">
        <w:rPr>
          <w:sz w:val="22"/>
        </w:rPr>
        <w:t xml:space="preserve">An area strategically identified that provide effective wildfire defense for communities, infrastructure, and other values at risk that meet or intermingle with wildland fuels and offer </w:t>
      </w:r>
      <w:r w:rsidRPr="00EC05A0">
        <w:rPr>
          <w:sz w:val="22"/>
        </w:rPr>
        <w:lastRenderedPageBreak/>
        <w:t>opportunities for broadened mitigation measures designed to interrupt wildfire spread and modify wildfire behavior in order to protect social, economic, and environmental interests.</w:t>
      </w:r>
    </w:p>
    <w:p w:rsidR="001A254C" w:rsidRDefault="001A254C" w:rsidP="005B13BD">
      <w:pPr>
        <w:rPr>
          <w:sz w:val="22"/>
        </w:rPr>
      </w:pPr>
    </w:p>
    <w:p w:rsidR="001A254C" w:rsidRDefault="001A254C" w:rsidP="005B13BD">
      <w:pPr>
        <w:rPr>
          <w:sz w:val="22"/>
        </w:rPr>
      </w:pPr>
    </w:p>
    <w:p w:rsidR="001A254C" w:rsidRDefault="001A254C" w:rsidP="005B13BD">
      <w:pPr>
        <w:rPr>
          <w:sz w:val="22"/>
        </w:rPr>
      </w:pPr>
    </w:p>
    <w:p w:rsidR="001A254C" w:rsidRDefault="001A254C" w:rsidP="001A254C">
      <w:pPr>
        <w:pStyle w:val="Default"/>
        <w:rPr>
          <w:color w:val="auto"/>
        </w:rPr>
        <w:sectPr w:rsidR="001A254C">
          <w:pgSz w:w="12240" w:h="16340"/>
          <w:pgMar w:top="1811" w:right="1411" w:bottom="661" w:left="1205"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3380"/>
        <w:gridCol w:w="3380"/>
      </w:tblGrid>
      <w:tr w:rsidR="001A254C">
        <w:trPr>
          <w:trHeight w:val="146"/>
        </w:trPr>
        <w:tc>
          <w:tcPr>
            <w:tcW w:w="3380" w:type="dxa"/>
          </w:tcPr>
          <w:p w:rsidR="00156CB9" w:rsidRDefault="001A254C">
            <w:pPr>
              <w:pStyle w:val="Default"/>
              <w:rPr>
                <w:b/>
                <w:bCs/>
                <w:color w:val="auto"/>
                <w:sz w:val="44"/>
                <w:szCs w:val="44"/>
              </w:rPr>
            </w:pPr>
            <w:r w:rsidRPr="00156CB9">
              <w:rPr>
                <w:b/>
                <w:bCs/>
                <w:color w:val="auto"/>
                <w:sz w:val="32"/>
                <w:szCs w:val="32"/>
              </w:rPr>
              <w:lastRenderedPageBreak/>
              <w:t>APPENDIX E:</w:t>
            </w:r>
            <w:r>
              <w:rPr>
                <w:b/>
                <w:bCs/>
                <w:color w:val="auto"/>
                <w:sz w:val="44"/>
                <w:szCs w:val="44"/>
              </w:rPr>
              <w:t xml:space="preserve"> </w:t>
            </w:r>
            <w:r w:rsidRPr="00156CB9">
              <w:rPr>
                <w:b/>
                <w:bCs/>
                <w:color w:val="auto"/>
                <w:sz w:val="32"/>
                <w:szCs w:val="32"/>
              </w:rPr>
              <w:t>ACRONYMS</w:t>
            </w:r>
            <w:r>
              <w:rPr>
                <w:b/>
                <w:bCs/>
                <w:color w:val="auto"/>
                <w:sz w:val="44"/>
                <w:szCs w:val="44"/>
              </w:rPr>
              <w:t xml:space="preserve"> </w:t>
            </w:r>
          </w:p>
          <w:p w:rsidR="00EC05A0" w:rsidRDefault="00EC05A0">
            <w:pPr>
              <w:pStyle w:val="Default"/>
              <w:rPr>
                <w:sz w:val="22"/>
                <w:szCs w:val="22"/>
              </w:rPr>
            </w:pPr>
          </w:p>
          <w:p w:rsidR="001A254C" w:rsidRDefault="001A254C">
            <w:pPr>
              <w:pStyle w:val="Default"/>
              <w:rPr>
                <w:sz w:val="22"/>
                <w:szCs w:val="22"/>
              </w:rPr>
            </w:pPr>
            <w:r>
              <w:rPr>
                <w:sz w:val="22"/>
                <w:szCs w:val="22"/>
              </w:rPr>
              <w:t xml:space="preserve">BAER </w:t>
            </w:r>
          </w:p>
        </w:tc>
        <w:tc>
          <w:tcPr>
            <w:tcW w:w="3380" w:type="dxa"/>
          </w:tcPr>
          <w:p w:rsidR="001A254C" w:rsidRDefault="001A254C">
            <w:pPr>
              <w:pStyle w:val="Default"/>
              <w:rPr>
                <w:sz w:val="22"/>
                <w:szCs w:val="22"/>
              </w:rPr>
            </w:pPr>
          </w:p>
          <w:p w:rsidR="001A254C" w:rsidRDefault="001A254C">
            <w:pPr>
              <w:pStyle w:val="Default"/>
              <w:rPr>
                <w:sz w:val="22"/>
                <w:szCs w:val="22"/>
              </w:rPr>
            </w:pPr>
          </w:p>
          <w:p w:rsidR="001A254C" w:rsidRDefault="001A254C">
            <w:pPr>
              <w:pStyle w:val="Default"/>
              <w:rPr>
                <w:sz w:val="22"/>
                <w:szCs w:val="22"/>
              </w:rPr>
            </w:pPr>
          </w:p>
          <w:p w:rsidR="001A254C" w:rsidRDefault="001A254C">
            <w:pPr>
              <w:pStyle w:val="Default"/>
              <w:rPr>
                <w:sz w:val="22"/>
                <w:szCs w:val="22"/>
              </w:rPr>
            </w:pPr>
          </w:p>
          <w:p w:rsidR="001A254C" w:rsidRDefault="001A254C">
            <w:pPr>
              <w:pStyle w:val="Default"/>
              <w:rPr>
                <w:sz w:val="22"/>
                <w:szCs w:val="22"/>
              </w:rPr>
            </w:pPr>
            <w:r>
              <w:rPr>
                <w:sz w:val="22"/>
                <w:szCs w:val="22"/>
              </w:rPr>
              <w:t xml:space="preserve">Burned Area Emergency Rehabilitation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BAR </w:t>
            </w:r>
          </w:p>
        </w:tc>
        <w:tc>
          <w:tcPr>
            <w:tcW w:w="3380" w:type="dxa"/>
          </w:tcPr>
          <w:p w:rsidR="001A254C" w:rsidRDefault="001A254C">
            <w:pPr>
              <w:pStyle w:val="Default"/>
              <w:rPr>
                <w:sz w:val="22"/>
                <w:szCs w:val="22"/>
              </w:rPr>
            </w:pPr>
            <w:r>
              <w:rPr>
                <w:sz w:val="22"/>
                <w:szCs w:val="22"/>
              </w:rPr>
              <w:t xml:space="preserve">Burned Area Rehabilitation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BIA </w:t>
            </w:r>
          </w:p>
        </w:tc>
        <w:tc>
          <w:tcPr>
            <w:tcW w:w="3380" w:type="dxa"/>
          </w:tcPr>
          <w:p w:rsidR="001A254C" w:rsidRDefault="001A254C">
            <w:pPr>
              <w:pStyle w:val="Default"/>
              <w:rPr>
                <w:sz w:val="22"/>
                <w:szCs w:val="22"/>
              </w:rPr>
            </w:pPr>
            <w:r>
              <w:rPr>
                <w:sz w:val="22"/>
                <w:szCs w:val="22"/>
              </w:rPr>
              <w:t xml:space="preserve">Bureau of Indian Affairs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BLM </w:t>
            </w:r>
          </w:p>
        </w:tc>
        <w:tc>
          <w:tcPr>
            <w:tcW w:w="3380" w:type="dxa"/>
          </w:tcPr>
          <w:p w:rsidR="001A254C" w:rsidRDefault="001A254C">
            <w:pPr>
              <w:pStyle w:val="Default"/>
              <w:rPr>
                <w:sz w:val="22"/>
                <w:szCs w:val="22"/>
              </w:rPr>
            </w:pPr>
            <w:r>
              <w:rPr>
                <w:sz w:val="22"/>
                <w:szCs w:val="22"/>
              </w:rPr>
              <w:t>Bureau of Land Management</w:t>
            </w:r>
          </w:p>
          <w:p w:rsidR="001A254C" w:rsidRDefault="001A254C">
            <w:pPr>
              <w:pStyle w:val="Default"/>
              <w:rPr>
                <w:sz w:val="22"/>
                <w:szCs w:val="22"/>
              </w:rPr>
            </w:pPr>
            <w:r>
              <w:rPr>
                <w:sz w:val="22"/>
                <w:szCs w:val="22"/>
              </w:rPr>
              <w:t xml:space="preserve"> </w:t>
            </w:r>
          </w:p>
        </w:tc>
      </w:tr>
      <w:tr w:rsidR="001A254C">
        <w:trPr>
          <w:trHeight w:val="146"/>
        </w:trPr>
        <w:tc>
          <w:tcPr>
            <w:tcW w:w="3380" w:type="dxa"/>
          </w:tcPr>
          <w:p w:rsidR="001A254C" w:rsidRDefault="001A254C">
            <w:pPr>
              <w:pStyle w:val="Default"/>
              <w:rPr>
                <w:sz w:val="22"/>
                <w:szCs w:val="22"/>
              </w:rPr>
            </w:pPr>
            <w:r>
              <w:rPr>
                <w:sz w:val="22"/>
                <w:szCs w:val="22"/>
              </w:rPr>
              <w:t xml:space="preserve">CWPP </w:t>
            </w:r>
          </w:p>
        </w:tc>
        <w:tc>
          <w:tcPr>
            <w:tcW w:w="3380" w:type="dxa"/>
          </w:tcPr>
          <w:p w:rsidR="001A254C" w:rsidRDefault="001A254C">
            <w:pPr>
              <w:pStyle w:val="Default"/>
              <w:rPr>
                <w:sz w:val="22"/>
                <w:szCs w:val="22"/>
              </w:rPr>
            </w:pPr>
            <w:r>
              <w:rPr>
                <w:sz w:val="22"/>
                <w:szCs w:val="22"/>
              </w:rPr>
              <w:t xml:space="preserve">Community Wildfire Protection Plan </w:t>
            </w:r>
          </w:p>
          <w:p w:rsidR="001A254C" w:rsidRDefault="001A254C">
            <w:pPr>
              <w:pStyle w:val="Default"/>
              <w:rPr>
                <w:sz w:val="22"/>
                <w:szCs w:val="22"/>
              </w:rPr>
            </w:pPr>
          </w:p>
        </w:tc>
      </w:tr>
      <w:tr w:rsidR="001A254C">
        <w:trPr>
          <w:trHeight w:val="146"/>
        </w:trPr>
        <w:tc>
          <w:tcPr>
            <w:tcW w:w="3380" w:type="dxa"/>
          </w:tcPr>
          <w:p w:rsidR="001A254C" w:rsidRDefault="00156CB9" w:rsidP="001A254C">
            <w:pPr>
              <w:pStyle w:val="Default"/>
              <w:spacing w:before="240" w:after="220"/>
              <w:rPr>
                <w:sz w:val="22"/>
                <w:szCs w:val="22"/>
              </w:rPr>
            </w:pPr>
            <w:r>
              <w:rPr>
                <w:sz w:val="22"/>
                <w:szCs w:val="22"/>
              </w:rPr>
              <w:t>CWS</w:t>
            </w:r>
            <w:r w:rsidR="001A254C">
              <w:rPr>
                <w:sz w:val="22"/>
                <w:szCs w:val="22"/>
              </w:rPr>
              <w:t xml:space="preserve"> </w:t>
            </w:r>
          </w:p>
        </w:tc>
        <w:tc>
          <w:tcPr>
            <w:tcW w:w="3380" w:type="dxa"/>
          </w:tcPr>
          <w:p w:rsidR="001A254C" w:rsidRDefault="001A254C">
            <w:pPr>
              <w:pStyle w:val="Default"/>
              <w:rPr>
                <w:sz w:val="22"/>
                <w:szCs w:val="22"/>
              </w:rPr>
            </w:pPr>
          </w:p>
          <w:p w:rsidR="001A254C" w:rsidRDefault="00156CB9">
            <w:pPr>
              <w:pStyle w:val="Default"/>
              <w:rPr>
                <w:sz w:val="22"/>
                <w:szCs w:val="22"/>
              </w:rPr>
            </w:pPr>
            <w:r>
              <w:rPr>
                <w:sz w:val="22"/>
                <w:szCs w:val="22"/>
              </w:rPr>
              <w:t>Cohesive Wildfire Strategy</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DOD </w:t>
            </w:r>
          </w:p>
        </w:tc>
        <w:tc>
          <w:tcPr>
            <w:tcW w:w="3380" w:type="dxa"/>
          </w:tcPr>
          <w:p w:rsidR="001A254C" w:rsidRDefault="001A254C">
            <w:pPr>
              <w:pStyle w:val="Default"/>
              <w:rPr>
                <w:sz w:val="22"/>
                <w:szCs w:val="22"/>
              </w:rPr>
            </w:pPr>
            <w:r>
              <w:rPr>
                <w:sz w:val="22"/>
                <w:szCs w:val="22"/>
              </w:rPr>
              <w:t xml:space="preserve">Department of Defense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DOI </w:t>
            </w:r>
          </w:p>
        </w:tc>
        <w:tc>
          <w:tcPr>
            <w:tcW w:w="3380" w:type="dxa"/>
          </w:tcPr>
          <w:p w:rsidR="001A254C" w:rsidRDefault="001A254C">
            <w:pPr>
              <w:pStyle w:val="Default"/>
              <w:rPr>
                <w:sz w:val="22"/>
                <w:szCs w:val="22"/>
              </w:rPr>
            </w:pPr>
            <w:r>
              <w:rPr>
                <w:sz w:val="22"/>
                <w:szCs w:val="22"/>
              </w:rPr>
              <w:t xml:space="preserve">Department of the Interior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EACG </w:t>
            </w:r>
          </w:p>
        </w:tc>
        <w:tc>
          <w:tcPr>
            <w:tcW w:w="3380" w:type="dxa"/>
          </w:tcPr>
          <w:p w:rsidR="001A254C" w:rsidRDefault="001A254C">
            <w:pPr>
              <w:pStyle w:val="Default"/>
              <w:rPr>
                <w:sz w:val="22"/>
                <w:szCs w:val="22"/>
              </w:rPr>
            </w:pPr>
            <w:r>
              <w:rPr>
                <w:sz w:val="22"/>
                <w:szCs w:val="22"/>
              </w:rPr>
              <w:t xml:space="preserve">Eastern Area Coordinating Group </w:t>
            </w:r>
          </w:p>
          <w:p w:rsidR="001A254C" w:rsidRDefault="001A254C">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FEMA                                                                                     </w:t>
            </w:r>
          </w:p>
        </w:tc>
        <w:tc>
          <w:tcPr>
            <w:tcW w:w="3380" w:type="dxa"/>
          </w:tcPr>
          <w:p w:rsidR="001A254C" w:rsidRDefault="001A254C" w:rsidP="001A254C">
            <w:pPr>
              <w:pStyle w:val="Default"/>
              <w:spacing w:before="240" w:after="220"/>
              <w:rPr>
                <w:sz w:val="22"/>
                <w:szCs w:val="22"/>
              </w:rPr>
            </w:pPr>
            <w:r>
              <w:rPr>
                <w:sz w:val="22"/>
                <w:szCs w:val="22"/>
              </w:rPr>
              <w:t xml:space="preserve">Federal Emergency </w:t>
            </w:r>
            <w:proofErr w:type="spellStart"/>
            <w:r>
              <w:rPr>
                <w:sz w:val="22"/>
                <w:szCs w:val="22"/>
              </w:rPr>
              <w:t>Mangement</w:t>
            </w:r>
            <w:proofErr w:type="spellEnd"/>
            <w:r>
              <w:rPr>
                <w:sz w:val="22"/>
                <w:szCs w:val="22"/>
              </w:rPr>
              <w:t xml:space="preserve"> Agency </w:t>
            </w:r>
          </w:p>
        </w:tc>
      </w:tr>
      <w:tr w:rsidR="001A254C">
        <w:trPr>
          <w:trHeight w:val="146"/>
        </w:trPr>
        <w:tc>
          <w:tcPr>
            <w:tcW w:w="3380" w:type="dxa"/>
          </w:tcPr>
          <w:p w:rsidR="001A254C" w:rsidRDefault="001A254C">
            <w:pPr>
              <w:pStyle w:val="Default"/>
              <w:rPr>
                <w:sz w:val="22"/>
                <w:szCs w:val="22"/>
              </w:rPr>
            </w:pPr>
            <w:r>
              <w:rPr>
                <w:sz w:val="22"/>
                <w:szCs w:val="22"/>
              </w:rPr>
              <w:t xml:space="preserve">FEPP </w:t>
            </w:r>
          </w:p>
        </w:tc>
        <w:tc>
          <w:tcPr>
            <w:tcW w:w="3380" w:type="dxa"/>
          </w:tcPr>
          <w:p w:rsidR="001A254C" w:rsidRDefault="001A254C">
            <w:pPr>
              <w:pStyle w:val="Default"/>
              <w:rPr>
                <w:sz w:val="22"/>
                <w:szCs w:val="22"/>
              </w:rPr>
            </w:pPr>
            <w:r>
              <w:rPr>
                <w:sz w:val="22"/>
                <w:szCs w:val="22"/>
              </w:rPr>
              <w:t xml:space="preserve">Federal Excess Personal Property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FFP </w:t>
            </w:r>
          </w:p>
        </w:tc>
        <w:tc>
          <w:tcPr>
            <w:tcW w:w="3380" w:type="dxa"/>
          </w:tcPr>
          <w:p w:rsidR="001A254C" w:rsidRDefault="001A254C">
            <w:pPr>
              <w:pStyle w:val="Default"/>
              <w:rPr>
                <w:sz w:val="22"/>
                <w:szCs w:val="22"/>
              </w:rPr>
            </w:pPr>
            <w:r>
              <w:rPr>
                <w:sz w:val="22"/>
                <w:szCs w:val="22"/>
              </w:rPr>
              <w:t xml:space="preserve">Fire Fighter Property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FFT2 </w:t>
            </w:r>
          </w:p>
        </w:tc>
        <w:tc>
          <w:tcPr>
            <w:tcW w:w="3380" w:type="dxa"/>
          </w:tcPr>
          <w:p w:rsidR="001A254C" w:rsidRDefault="001A254C">
            <w:pPr>
              <w:pStyle w:val="Default"/>
              <w:rPr>
                <w:sz w:val="22"/>
                <w:szCs w:val="22"/>
              </w:rPr>
            </w:pPr>
            <w:r>
              <w:rPr>
                <w:sz w:val="22"/>
                <w:szCs w:val="22"/>
              </w:rPr>
              <w:t xml:space="preserve">Firefighter 2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FLAME </w:t>
            </w:r>
          </w:p>
        </w:tc>
        <w:tc>
          <w:tcPr>
            <w:tcW w:w="3380" w:type="dxa"/>
          </w:tcPr>
          <w:p w:rsidR="001A254C" w:rsidRDefault="001A254C">
            <w:pPr>
              <w:pStyle w:val="Default"/>
              <w:rPr>
                <w:sz w:val="22"/>
                <w:szCs w:val="22"/>
              </w:rPr>
            </w:pPr>
            <w:r>
              <w:rPr>
                <w:sz w:val="22"/>
                <w:szCs w:val="22"/>
              </w:rPr>
              <w:t xml:space="preserve">Federal Land Assistance and Enhancement Act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FLN </w:t>
            </w:r>
          </w:p>
        </w:tc>
        <w:tc>
          <w:tcPr>
            <w:tcW w:w="3380" w:type="dxa"/>
          </w:tcPr>
          <w:p w:rsidR="001A254C" w:rsidRDefault="001A254C">
            <w:pPr>
              <w:pStyle w:val="Default"/>
              <w:rPr>
                <w:sz w:val="22"/>
                <w:szCs w:val="22"/>
              </w:rPr>
            </w:pPr>
            <w:r>
              <w:rPr>
                <w:sz w:val="22"/>
                <w:szCs w:val="22"/>
              </w:rPr>
              <w:t xml:space="preserve">Fire Learning Network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FRG </w:t>
            </w:r>
          </w:p>
        </w:tc>
        <w:tc>
          <w:tcPr>
            <w:tcW w:w="3380" w:type="dxa"/>
          </w:tcPr>
          <w:p w:rsidR="001A254C" w:rsidRDefault="001A254C">
            <w:pPr>
              <w:pStyle w:val="Default"/>
              <w:rPr>
                <w:sz w:val="22"/>
                <w:szCs w:val="22"/>
              </w:rPr>
            </w:pPr>
            <w:r>
              <w:rPr>
                <w:sz w:val="22"/>
                <w:szCs w:val="22"/>
              </w:rPr>
              <w:t xml:space="preserve">Fire Regime Group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FWS </w:t>
            </w:r>
          </w:p>
        </w:tc>
        <w:tc>
          <w:tcPr>
            <w:tcW w:w="3380" w:type="dxa"/>
          </w:tcPr>
          <w:p w:rsidR="001A254C" w:rsidRDefault="001A254C">
            <w:pPr>
              <w:pStyle w:val="Default"/>
              <w:rPr>
                <w:sz w:val="22"/>
                <w:szCs w:val="22"/>
              </w:rPr>
            </w:pPr>
            <w:r>
              <w:rPr>
                <w:sz w:val="22"/>
                <w:szCs w:val="22"/>
              </w:rPr>
              <w:t xml:space="preserve">U.S. Fish and Wildlife Service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FOC </w:t>
            </w:r>
          </w:p>
        </w:tc>
        <w:tc>
          <w:tcPr>
            <w:tcW w:w="3380" w:type="dxa"/>
          </w:tcPr>
          <w:p w:rsidR="001A254C" w:rsidRDefault="001A254C">
            <w:pPr>
              <w:pStyle w:val="Default"/>
              <w:rPr>
                <w:sz w:val="22"/>
                <w:szCs w:val="22"/>
              </w:rPr>
            </w:pPr>
            <w:r>
              <w:rPr>
                <w:sz w:val="22"/>
                <w:szCs w:val="22"/>
              </w:rPr>
              <w:t xml:space="preserve">Fires of Concern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GACC </w:t>
            </w:r>
          </w:p>
        </w:tc>
        <w:tc>
          <w:tcPr>
            <w:tcW w:w="3380" w:type="dxa"/>
          </w:tcPr>
          <w:p w:rsidR="001A254C" w:rsidRDefault="001A254C">
            <w:pPr>
              <w:pStyle w:val="Default"/>
              <w:rPr>
                <w:sz w:val="22"/>
                <w:szCs w:val="22"/>
              </w:rPr>
            </w:pPr>
            <w:r>
              <w:rPr>
                <w:sz w:val="22"/>
                <w:szCs w:val="22"/>
              </w:rPr>
              <w:t xml:space="preserve">Geographic Area Coordination Center </w:t>
            </w:r>
          </w:p>
        </w:tc>
      </w:tr>
      <w:tr w:rsidR="001A254C">
        <w:trPr>
          <w:trHeight w:val="146"/>
        </w:trPr>
        <w:tc>
          <w:tcPr>
            <w:tcW w:w="3380" w:type="dxa"/>
          </w:tcPr>
          <w:p w:rsidR="001A254C" w:rsidRDefault="001A254C">
            <w:pPr>
              <w:pStyle w:val="Default"/>
              <w:rPr>
                <w:sz w:val="22"/>
                <w:szCs w:val="22"/>
              </w:rPr>
            </w:pPr>
            <w:r>
              <w:rPr>
                <w:sz w:val="22"/>
                <w:szCs w:val="22"/>
              </w:rPr>
              <w:t xml:space="preserve">GAO </w:t>
            </w:r>
          </w:p>
        </w:tc>
        <w:tc>
          <w:tcPr>
            <w:tcW w:w="3380" w:type="dxa"/>
          </w:tcPr>
          <w:p w:rsidR="001A254C" w:rsidRDefault="001A254C">
            <w:pPr>
              <w:pStyle w:val="Default"/>
              <w:rPr>
                <w:sz w:val="22"/>
                <w:szCs w:val="22"/>
              </w:rPr>
            </w:pPr>
            <w:r>
              <w:rPr>
                <w:sz w:val="22"/>
                <w:szCs w:val="22"/>
              </w:rPr>
              <w:t xml:space="preserve">Government Accountability </w:t>
            </w:r>
            <w:r>
              <w:rPr>
                <w:sz w:val="22"/>
                <w:szCs w:val="22"/>
              </w:rPr>
              <w:lastRenderedPageBreak/>
              <w:t xml:space="preserve">Office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lastRenderedPageBreak/>
              <w:t xml:space="preserve">IAFC </w:t>
            </w:r>
          </w:p>
        </w:tc>
        <w:tc>
          <w:tcPr>
            <w:tcW w:w="3380" w:type="dxa"/>
          </w:tcPr>
          <w:p w:rsidR="001A254C" w:rsidRDefault="001A254C">
            <w:pPr>
              <w:pStyle w:val="Default"/>
              <w:rPr>
                <w:sz w:val="22"/>
                <w:szCs w:val="22"/>
              </w:rPr>
            </w:pPr>
            <w:r>
              <w:rPr>
                <w:sz w:val="22"/>
                <w:szCs w:val="22"/>
              </w:rPr>
              <w:t xml:space="preserve">International Association of Fire Chiefs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IMT </w:t>
            </w:r>
          </w:p>
        </w:tc>
        <w:tc>
          <w:tcPr>
            <w:tcW w:w="3380" w:type="dxa"/>
          </w:tcPr>
          <w:p w:rsidR="001A254C" w:rsidRDefault="001A254C">
            <w:pPr>
              <w:pStyle w:val="Default"/>
              <w:rPr>
                <w:sz w:val="22"/>
                <w:szCs w:val="22"/>
              </w:rPr>
            </w:pPr>
            <w:r>
              <w:rPr>
                <w:sz w:val="22"/>
                <w:szCs w:val="22"/>
              </w:rPr>
              <w:t xml:space="preserve">Incident Management Team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ITC </w:t>
            </w:r>
          </w:p>
        </w:tc>
        <w:tc>
          <w:tcPr>
            <w:tcW w:w="3380" w:type="dxa"/>
          </w:tcPr>
          <w:p w:rsidR="001A254C" w:rsidRDefault="001A254C">
            <w:pPr>
              <w:pStyle w:val="Default"/>
              <w:rPr>
                <w:sz w:val="22"/>
                <w:szCs w:val="22"/>
              </w:rPr>
            </w:pPr>
            <w:r>
              <w:rPr>
                <w:sz w:val="22"/>
                <w:szCs w:val="22"/>
              </w:rPr>
              <w:t xml:space="preserve">Intertribal Timber Council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JFSP </w:t>
            </w:r>
          </w:p>
        </w:tc>
        <w:tc>
          <w:tcPr>
            <w:tcW w:w="3380" w:type="dxa"/>
          </w:tcPr>
          <w:p w:rsidR="001A254C" w:rsidRDefault="001A254C">
            <w:pPr>
              <w:pStyle w:val="Default"/>
              <w:rPr>
                <w:sz w:val="22"/>
                <w:szCs w:val="22"/>
              </w:rPr>
            </w:pPr>
            <w:r>
              <w:rPr>
                <w:sz w:val="22"/>
                <w:szCs w:val="22"/>
              </w:rPr>
              <w:t xml:space="preserve">Joint Fire Science Program </w:t>
            </w:r>
          </w:p>
          <w:p w:rsidR="006A0237" w:rsidRDefault="006A0237">
            <w:pPr>
              <w:pStyle w:val="Default"/>
              <w:rPr>
                <w:sz w:val="22"/>
                <w:szCs w:val="22"/>
              </w:rPr>
            </w:pPr>
          </w:p>
        </w:tc>
      </w:tr>
      <w:tr w:rsidR="001A254C">
        <w:trPr>
          <w:trHeight w:val="616"/>
        </w:trPr>
        <w:tc>
          <w:tcPr>
            <w:tcW w:w="3380" w:type="dxa"/>
          </w:tcPr>
          <w:p w:rsidR="001A254C" w:rsidRDefault="001A254C">
            <w:pPr>
              <w:pStyle w:val="Default"/>
              <w:rPr>
                <w:sz w:val="22"/>
                <w:szCs w:val="22"/>
              </w:rPr>
            </w:pPr>
            <w:r>
              <w:rPr>
                <w:sz w:val="22"/>
                <w:szCs w:val="22"/>
              </w:rPr>
              <w:t xml:space="preserve">MAC </w:t>
            </w:r>
          </w:p>
        </w:tc>
        <w:tc>
          <w:tcPr>
            <w:tcW w:w="3380" w:type="dxa"/>
          </w:tcPr>
          <w:p w:rsidR="001A254C" w:rsidRDefault="001A254C">
            <w:pPr>
              <w:pStyle w:val="Default"/>
              <w:rPr>
                <w:sz w:val="22"/>
                <w:szCs w:val="22"/>
              </w:rPr>
            </w:pPr>
            <w:r>
              <w:rPr>
                <w:sz w:val="22"/>
                <w:szCs w:val="22"/>
              </w:rPr>
              <w:t>Multi</w:t>
            </w:r>
            <w:r>
              <w:rPr>
                <w:rFonts w:ascii="Cambria Math" w:hAnsi="Cambria Math" w:cs="Cambria Math"/>
                <w:sz w:val="22"/>
                <w:szCs w:val="22"/>
              </w:rPr>
              <w:t>‐</w:t>
            </w:r>
            <w:r>
              <w:rPr>
                <w:sz w:val="22"/>
                <w:szCs w:val="22"/>
              </w:rPr>
              <w:t xml:space="preserve">Agency Coordination </w:t>
            </w:r>
          </w:p>
        </w:tc>
      </w:tr>
      <w:tr w:rsidR="001A254C">
        <w:trPr>
          <w:trHeight w:val="146"/>
        </w:trPr>
        <w:tc>
          <w:tcPr>
            <w:tcW w:w="3380" w:type="dxa"/>
          </w:tcPr>
          <w:p w:rsidR="001A254C" w:rsidRDefault="001A254C">
            <w:pPr>
              <w:pStyle w:val="Default"/>
              <w:rPr>
                <w:sz w:val="22"/>
                <w:szCs w:val="22"/>
              </w:rPr>
            </w:pPr>
            <w:r>
              <w:rPr>
                <w:sz w:val="22"/>
                <w:szCs w:val="22"/>
              </w:rPr>
              <w:t xml:space="preserve">MNICS </w:t>
            </w:r>
          </w:p>
        </w:tc>
        <w:tc>
          <w:tcPr>
            <w:tcW w:w="3380" w:type="dxa"/>
          </w:tcPr>
          <w:p w:rsidR="001A254C" w:rsidRDefault="001A254C">
            <w:pPr>
              <w:pStyle w:val="Default"/>
              <w:rPr>
                <w:sz w:val="22"/>
                <w:szCs w:val="22"/>
              </w:rPr>
            </w:pPr>
            <w:r>
              <w:rPr>
                <w:sz w:val="22"/>
                <w:szCs w:val="22"/>
              </w:rPr>
              <w:t xml:space="preserve">Minnesota Incident Command System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MOA </w:t>
            </w:r>
          </w:p>
        </w:tc>
        <w:tc>
          <w:tcPr>
            <w:tcW w:w="3380" w:type="dxa"/>
          </w:tcPr>
          <w:p w:rsidR="001A254C" w:rsidRDefault="001A254C">
            <w:pPr>
              <w:pStyle w:val="Default"/>
              <w:rPr>
                <w:sz w:val="22"/>
                <w:szCs w:val="22"/>
              </w:rPr>
            </w:pPr>
            <w:r>
              <w:rPr>
                <w:sz w:val="22"/>
                <w:szCs w:val="22"/>
              </w:rPr>
              <w:t xml:space="preserve">Memorandum of Agreement </w:t>
            </w:r>
          </w:p>
          <w:p w:rsidR="006A0237" w:rsidRDefault="006A0237">
            <w:pPr>
              <w:pStyle w:val="Default"/>
              <w:rPr>
                <w:sz w:val="22"/>
                <w:szCs w:val="22"/>
              </w:rPr>
            </w:pPr>
          </w:p>
        </w:tc>
      </w:tr>
      <w:tr w:rsidR="001A254C">
        <w:trPr>
          <w:trHeight w:val="146"/>
        </w:trPr>
        <w:tc>
          <w:tcPr>
            <w:tcW w:w="3380" w:type="dxa"/>
          </w:tcPr>
          <w:p w:rsidR="001A254C" w:rsidRDefault="001A254C">
            <w:pPr>
              <w:pStyle w:val="Default"/>
              <w:rPr>
                <w:sz w:val="22"/>
                <w:szCs w:val="22"/>
              </w:rPr>
            </w:pPr>
            <w:r>
              <w:rPr>
                <w:sz w:val="22"/>
                <w:szCs w:val="22"/>
              </w:rPr>
              <w:t xml:space="preserve">MOU </w:t>
            </w:r>
          </w:p>
        </w:tc>
        <w:tc>
          <w:tcPr>
            <w:tcW w:w="3380" w:type="dxa"/>
          </w:tcPr>
          <w:p w:rsidR="001A254C" w:rsidRDefault="001A254C">
            <w:pPr>
              <w:pStyle w:val="Default"/>
              <w:rPr>
                <w:sz w:val="22"/>
                <w:szCs w:val="22"/>
              </w:rPr>
            </w:pPr>
            <w:r>
              <w:rPr>
                <w:sz w:val="22"/>
                <w:szCs w:val="22"/>
              </w:rPr>
              <w:t>Memorandum of Understanding</w:t>
            </w:r>
          </w:p>
        </w:tc>
      </w:tr>
    </w:tbl>
    <w:p w:rsidR="001A254C" w:rsidRDefault="001A254C" w:rsidP="005B13BD"/>
    <w:sectPr w:rsidR="001A2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BD"/>
    <w:rsid w:val="000E17DD"/>
    <w:rsid w:val="00135AA8"/>
    <w:rsid w:val="00156CB9"/>
    <w:rsid w:val="001A254C"/>
    <w:rsid w:val="005B13BD"/>
    <w:rsid w:val="006A0237"/>
    <w:rsid w:val="00797067"/>
    <w:rsid w:val="00BB7C05"/>
    <w:rsid w:val="00D91C28"/>
    <w:rsid w:val="00DB6E6B"/>
    <w:rsid w:val="00EC05A0"/>
    <w:rsid w:val="00F21439"/>
    <w:rsid w:val="00F5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3BD"/>
    <w:pPr>
      <w:autoSpaceDE w:val="0"/>
      <w:autoSpaceDN w:val="0"/>
      <w:adjustRightInd w:val="0"/>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3BD"/>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6</cp:revision>
  <dcterms:created xsi:type="dcterms:W3CDTF">2015-05-05T18:09:00Z</dcterms:created>
  <dcterms:modified xsi:type="dcterms:W3CDTF">2016-08-18T18:25:00Z</dcterms:modified>
</cp:coreProperties>
</file>